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BAE" w:rsidRPr="00DD5BAE" w:rsidRDefault="00DD5BAE" w:rsidP="00DD5BAE">
      <w:pPr>
        <w:spacing w:after="0" w:line="439" w:lineRule="atLeast"/>
        <w:outlineLvl w:val="1"/>
        <w:rPr>
          <w:rFonts w:ascii="Calibri" w:eastAsia="Times New Roman" w:hAnsi="Calibri" w:cs="Calibri"/>
          <w:b/>
          <w:bCs/>
          <w:color w:val="333333"/>
          <w:sz w:val="29"/>
          <w:szCs w:val="29"/>
        </w:rPr>
      </w:pPr>
      <w:r w:rsidRPr="00DD5BAE">
        <w:rPr>
          <w:rFonts w:ascii="Calibri" w:eastAsia="Times New Roman" w:hAnsi="Calibri" w:cs="Calibri"/>
          <w:b/>
          <w:bCs/>
          <w:color w:val="333333"/>
          <w:sz w:val="29"/>
          <w:szCs w:val="29"/>
        </w:rPr>
        <w:t>Improving Organizational Performance</w:t>
      </w:r>
    </w:p>
    <w:p w:rsidR="00DD5BAE" w:rsidRPr="00DD5BAE" w:rsidRDefault="00DD5BAE" w:rsidP="00DD5BAE">
      <w:p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Organizations that want to improve their performance can use a combination of HR systems to get these improvements. For example, performance measurement systems help underperforming companies improve performance. The utility company Arizona Public Service used a performance measurement system to rebound from dismal financial results. The company developed 17 “critical success indicators,” which it measures regularly and benchmarks against the best companies in each category. Of the 17, nine were identified as “major critical success indicators.” They are:</w:t>
      </w:r>
    </w:p>
    <w:p w:rsidR="00DD5BAE" w:rsidRPr="00DD5BAE" w:rsidRDefault="00DD5BAE" w:rsidP="00DD5BAE">
      <w:pPr>
        <w:numPr>
          <w:ilvl w:val="0"/>
          <w:numId w:val="1"/>
        </w:num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cost to produce kilowatt hour</w:t>
      </w:r>
    </w:p>
    <w:p w:rsidR="00DD5BAE" w:rsidRPr="00DD5BAE" w:rsidRDefault="00DD5BAE" w:rsidP="00DD5BAE">
      <w:pPr>
        <w:numPr>
          <w:ilvl w:val="0"/>
          <w:numId w:val="1"/>
        </w:num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customer satisfaction</w:t>
      </w:r>
    </w:p>
    <w:p w:rsidR="00DD5BAE" w:rsidRPr="00DD5BAE" w:rsidRDefault="00DD5BAE" w:rsidP="00DD5BAE">
      <w:pPr>
        <w:numPr>
          <w:ilvl w:val="0"/>
          <w:numId w:val="1"/>
        </w:num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fossil plants availability</w:t>
      </w:r>
    </w:p>
    <w:p w:rsidR="00DD5BAE" w:rsidRPr="00DD5BAE" w:rsidRDefault="00DD5BAE" w:rsidP="00DD5BAE">
      <w:pPr>
        <w:numPr>
          <w:ilvl w:val="0"/>
          <w:numId w:val="1"/>
        </w:num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operations and maintenance expenditures</w:t>
      </w:r>
    </w:p>
    <w:p w:rsidR="00DD5BAE" w:rsidRPr="00DD5BAE" w:rsidRDefault="00DD5BAE" w:rsidP="00DD5BAE">
      <w:pPr>
        <w:numPr>
          <w:ilvl w:val="0"/>
          <w:numId w:val="1"/>
        </w:num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construction expenditures</w:t>
      </w:r>
    </w:p>
    <w:p w:rsidR="00DD5BAE" w:rsidRPr="00DD5BAE" w:rsidRDefault="00DD5BAE" w:rsidP="00DD5BAE">
      <w:pPr>
        <w:numPr>
          <w:ilvl w:val="0"/>
          <w:numId w:val="1"/>
        </w:num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ranking as corporate citizen in Arizona</w:t>
      </w:r>
    </w:p>
    <w:p w:rsidR="00DD5BAE" w:rsidRPr="00DD5BAE" w:rsidRDefault="00DD5BAE" w:rsidP="00DD5BAE">
      <w:pPr>
        <w:numPr>
          <w:ilvl w:val="0"/>
          <w:numId w:val="1"/>
        </w:num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safety all-injury incident rate</w:t>
      </w:r>
    </w:p>
    <w:p w:rsidR="00DD5BAE" w:rsidRPr="00DD5BAE" w:rsidRDefault="00DD5BAE" w:rsidP="00DD5BAE">
      <w:pPr>
        <w:numPr>
          <w:ilvl w:val="0"/>
          <w:numId w:val="1"/>
        </w:num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nuclear performance</w:t>
      </w:r>
    </w:p>
    <w:p w:rsidR="00DD5BAE" w:rsidRPr="00DD5BAE" w:rsidRDefault="00DD5BAE" w:rsidP="00DD5BAE">
      <w:pPr>
        <w:numPr>
          <w:ilvl w:val="0"/>
          <w:numId w:val="1"/>
        </w:num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shareholder value return on assets</w:t>
      </w:r>
    </w:p>
    <w:p w:rsidR="00DD5BAE" w:rsidRPr="00DD5BAE" w:rsidRDefault="00DD5BAE" w:rsidP="00DD5BAE">
      <w:p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 xml:space="preserve">Each department sets measurable goals in line with these indicators, and a </w:t>
      </w:r>
      <w:proofErr w:type="spellStart"/>
      <w:r w:rsidRPr="00DD5BAE">
        <w:rPr>
          <w:rFonts w:ascii="Georgia" w:eastAsia="Times New Roman" w:hAnsi="Georgia" w:cs="Times New Roman"/>
          <w:color w:val="333333"/>
          <w:sz w:val="21"/>
          <w:szCs w:val="21"/>
        </w:rPr>
        <w:t>gainsharing</w:t>
      </w:r>
      <w:proofErr w:type="spellEnd"/>
      <w:r w:rsidRPr="00DD5BAE">
        <w:rPr>
          <w:rFonts w:ascii="Georgia" w:eastAsia="Times New Roman" w:hAnsi="Georgia" w:cs="Times New Roman"/>
          <w:color w:val="333333"/>
          <w:sz w:val="21"/>
          <w:szCs w:val="21"/>
        </w:rPr>
        <w:t xml:space="preserve"> plan rewards employees for meeting the indicators.</w:t>
      </w:r>
    </w:p>
    <w:p w:rsidR="00DD5BAE" w:rsidRPr="00DD5BAE" w:rsidRDefault="00DD5BAE" w:rsidP="00DD5BAE">
      <w:p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In addition, companies can use reward schemes to improve performance. Better-performing firms tend to invest in more sophisticated HRM practices, which further enhances organizational performance.</w:t>
      </w:r>
      <w:r>
        <w:rPr>
          <w:rFonts w:ascii="Georgia" w:eastAsia="Times New Roman" w:hAnsi="Georgia" w:cs="Times New Roman"/>
          <w:color w:val="333333"/>
          <w:sz w:val="21"/>
          <w:szCs w:val="21"/>
        </w:rPr>
        <w:t xml:space="preserve"> </w:t>
      </w:r>
      <w:bookmarkStart w:id="0" w:name="_GoBack"/>
      <w:bookmarkEnd w:id="0"/>
      <w:r w:rsidRPr="00DD5BAE">
        <w:rPr>
          <w:rFonts w:ascii="Georgia" w:eastAsia="Times New Roman" w:hAnsi="Georgia" w:cs="Times New Roman"/>
          <w:color w:val="333333"/>
          <w:sz w:val="21"/>
          <w:szCs w:val="21"/>
        </w:rPr>
        <w:t>Shih, H.-A., Chiang, Y.-H., &amp; Hsu, C.-C. (2006, August). Can high performance work systems really lead to better performance? </w:t>
      </w:r>
      <w:r w:rsidRPr="00DD5BAE">
        <w:rPr>
          <w:rFonts w:ascii="Georgia" w:eastAsia="Times New Roman" w:hAnsi="Georgia" w:cs="Times New Roman"/>
          <w:i/>
          <w:iCs/>
          <w:color w:val="333333"/>
          <w:sz w:val="21"/>
          <w:szCs w:val="21"/>
        </w:rPr>
        <w:t>International Journal of Manpower</w:t>
      </w:r>
      <w:r w:rsidRPr="00DD5BAE">
        <w:rPr>
          <w:rFonts w:ascii="Georgia" w:eastAsia="Times New Roman" w:hAnsi="Georgia" w:cs="Times New Roman"/>
          <w:color w:val="333333"/>
          <w:sz w:val="21"/>
          <w:szCs w:val="21"/>
        </w:rPr>
        <w:t>, </w:t>
      </w:r>
      <w:r w:rsidRPr="00DD5BAE">
        <w:rPr>
          <w:rFonts w:ascii="Georgia" w:eastAsia="Times New Roman" w:hAnsi="Georgia" w:cs="Times New Roman"/>
          <w:i/>
          <w:iCs/>
          <w:color w:val="333333"/>
          <w:sz w:val="21"/>
          <w:szCs w:val="21"/>
        </w:rPr>
        <w:t>27</w:t>
      </w:r>
      <w:r w:rsidRPr="00DD5BAE">
        <w:rPr>
          <w:rFonts w:ascii="Georgia" w:eastAsia="Times New Roman" w:hAnsi="Georgia" w:cs="Times New Roman"/>
          <w:color w:val="333333"/>
          <w:sz w:val="21"/>
          <w:szCs w:val="21"/>
        </w:rPr>
        <w:t xml:space="preserve">(8), 741–763. Currently, about 20% of firms link employee compensation to the firm’s earnings. They use reward schemes such as employee stock ownership plans, </w:t>
      </w:r>
      <w:proofErr w:type="spellStart"/>
      <w:r w:rsidRPr="00DD5BAE">
        <w:rPr>
          <w:rFonts w:ascii="Georgia" w:eastAsia="Times New Roman" w:hAnsi="Georgia" w:cs="Times New Roman"/>
          <w:color w:val="333333"/>
          <w:sz w:val="21"/>
          <w:szCs w:val="21"/>
        </w:rPr>
        <w:t>gainsharing</w:t>
      </w:r>
      <w:proofErr w:type="spellEnd"/>
      <w:r w:rsidRPr="00DD5BAE">
        <w:rPr>
          <w:rFonts w:ascii="Georgia" w:eastAsia="Times New Roman" w:hAnsi="Georgia" w:cs="Times New Roman"/>
          <w:color w:val="333333"/>
          <w:sz w:val="21"/>
          <w:szCs w:val="21"/>
        </w:rPr>
        <w:t>, and profit sharing. This trend is increasing.</w:t>
      </w:r>
    </w:p>
    <w:p w:rsidR="00DD5BAE" w:rsidRPr="00DD5BAE" w:rsidRDefault="00DD5BAE" w:rsidP="00DD5BAE">
      <w:p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lastRenderedPageBreak/>
        <w:t xml:space="preserve">Researcher Michel </w:t>
      </w:r>
      <w:proofErr w:type="spellStart"/>
      <w:r w:rsidRPr="00DD5BAE">
        <w:rPr>
          <w:rFonts w:ascii="Georgia" w:eastAsia="Times New Roman" w:hAnsi="Georgia" w:cs="Times New Roman"/>
          <w:color w:val="333333"/>
          <w:sz w:val="21"/>
          <w:szCs w:val="21"/>
        </w:rPr>
        <w:t>Magnan</w:t>
      </w:r>
      <w:proofErr w:type="spellEnd"/>
      <w:r w:rsidRPr="00DD5BAE">
        <w:rPr>
          <w:rFonts w:ascii="Georgia" w:eastAsia="Times New Roman" w:hAnsi="Georgia" w:cs="Times New Roman"/>
          <w:color w:val="333333"/>
          <w:sz w:val="21"/>
          <w:szCs w:val="21"/>
        </w:rPr>
        <w:t xml:space="preserve"> wanted to find out: Is the performance of an organization with a profit-sharing plan better than other firms? And, does adoption of a profit-sharing plan lead to improvement in an organization’s performance?</w:t>
      </w:r>
    </w:p>
    <w:p w:rsidR="00DD5BAE" w:rsidRPr="00DD5BAE" w:rsidRDefault="00DD5BAE" w:rsidP="00DD5BAE">
      <w:p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The reasons profit-sharing plans would improve organizational performance go back to employee motivation theory. A profit-sharing plan will likely encourage employees to monitor one another’s behavior because “loafers” would erode the rewards for everyone. Moreover, profit sharing should lead to greater information sharing, which increases the productivity and flexibility of the firm.</w:t>
      </w:r>
    </w:p>
    <w:p w:rsidR="00DD5BAE" w:rsidRPr="00DD5BAE" w:rsidRDefault="00DD5BAE" w:rsidP="00DD5BAE">
      <w:pPr>
        <w:spacing w:before="100" w:beforeAutospacing="1" w:after="100" w:afterAutospacing="1" w:line="439" w:lineRule="atLeast"/>
        <w:rPr>
          <w:rFonts w:ascii="Georgia" w:eastAsia="Times New Roman" w:hAnsi="Georgia" w:cs="Times New Roman"/>
          <w:color w:val="333333"/>
          <w:sz w:val="21"/>
          <w:szCs w:val="21"/>
        </w:rPr>
      </w:pPr>
      <w:proofErr w:type="spellStart"/>
      <w:r w:rsidRPr="00DD5BAE">
        <w:rPr>
          <w:rFonts w:ascii="Georgia" w:eastAsia="Times New Roman" w:hAnsi="Georgia" w:cs="Times New Roman"/>
          <w:color w:val="333333"/>
          <w:sz w:val="21"/>
          <w:szCs w:val="21"/>
        </w:rPr>
        <w:t>Magnan</w:t>
      </w:r>
      <w:proofErr w:type="spellEnd"/>
      <w:r w:rsidRPr="00DD5BAE">
        <w:rPr>
          <w:rFonts w:ascii="Georgia" w:eastAsia="Times New Roman" w:hAnsi="Georgia" w:cs="Times New Roman"/>
          <w:color w:val="333333"/>
          <w:sz w:val="21"/>
          <w:szCs w:val="21"/>
        </w:rPr>
        <w:t xml:space="preserve"> studied 294 Canadian credit unions in the same region (controlling for regional and sector-specific economic effects). Of the firms studied, 83 had profit sharing plans that paid the bonus in full at the end of the year. This meant that employees felt the effect of the organizational performance reward immediately, so it had a stronger motivational effect than a plan that put profits into a retirement account, where the benefit would be delayed (and essentially hidden) until retirement.</w:t>
      </w:r>
    </w:p>
    <w:p w:rsidR="00DD5BAE" w:rsidRPr="00DD5BAE" w:rsidRDefault="00DD5BAE" w:rsidP="00DD5BAE">
      <w:pPr>
        <w:spacing w:before="100" w:beforeAutospacing="1" w:after="100" w:afterAutospacing="1" w:line="439" w:lineRule="atLeast"/>
        <w:rPr>
          <w:rFonts w:ascii="Georgia" w:eastAsia="Times New Roman" w:hAnsi="Georgia" w:cs="Times New Roman"/>
          <w:color w:val="333333"/>
          <w:sz w:val="21"/>
          <w:szCs w:val="21"/>
        </w:rPr>
      </w:pPr>
      <w:proofErr w:type="spellStart"/>
      <w:r w:rsidRPr="00DD5BAE">
        <w:rPr>
          <w:rFonts w:ascii="Georgia" w:eastAsia="Times New Roman" w:hAnsi="Georgia" w:cs="Times New Roman"/>
          <w:color w:val="333333"/>
          <w:sz w:val="21"/>
          <w:szCs w:val="21"/>
        </w:rPr>
        <w:t>Magnan’s</w:t>
      </w:r>
      <w:proofErr w:type="spellEnd"/>
      <w:r w:rsidRPr="00DD5BAE">
        <w:rPr>
          <w:rFonts w:ascii="Georgia" w:eastAsia="Times New Roman" w:hAnsi="Georgia" w:cs="Times New Roman"/>
          <w:color w:val="333333"/>
          <w:sz w:val="21"/>
          <w:szCs w:val="21"/>
        </w:rPr>
        <w:t xml:space="preserve"> results showed that firms with profit-sharing plans had better performance on most facets of organizational performance. They had better performance on asset growth, market capitalization, operating costs, losses on loans, and return on assets than firms without profit-sharing plans. The improved performance was especially driven by activities where employee involvement had a quick, predictable effect on firm performance, such as giving loans or controlling costs.</w:t>
      </w:r>
    </w:p>
    <w:p w:rsidR="00DD5BAE" w:rsidRPr="00DD5BAE" w:rsidRDefault="00DD5BAE" w:rsidP="00DD5BAE">
      <w:pPr>
        <w:spacing w:before="100" w:beforeAutospacing="1" w:after="100" w:afterAutospacing="1" w:line="439" w:lineRule="atLeast"/>
        <w:rPr>
          <w:rFonts w:ascii="Georgia" w:eastAsia="Times New Roman" w:hAnsi="Georgia" w:cs="Times New Roman"/>
          <w:color w:val="333333"/>
          <w:sz w:val="21"/>
          <w:szCs w:val="21"/>
        </w:rPr>
      </w:pPr>
      <w:r w:rsidRPr="00DD5BAE">
        <w:rPr>
          <w:rFonts w:ascii="Georgia" w:eastAsia="Times New Roman" w:hAnsi="Georgia" w:cs="Times New Roman"/>
          <w:color w:val="333333"/>
          <w:sz w:val="21"/>
          <w:szCs w:val="21"/>
        </w:rPr>
        <w:t xml:space="preserve">Another interesting finding was that when firms adopted a profit-sharing plan, their organizational performance went up. Profit-sharing plans appear to be a good turnaround tool because the firms that showed the greatest improvement were those that had not been performing well before the profit-sharing plan. Even firms that had good performance before adopting a profit-sharing plan had better performance after the profit-sharing </w:t>
      </w:r>
      <w:proofErr w:type="spellStart"/>
      <w:r w:rsidRPr="00DD5BAE">
        <w:rPr>
          <w:rFonts w:ascii="Georgia" w:eastAsia="Times New Roman" w:hAnsi="Georgia" w:cs="Times New Roman"/>
          <w:color w:val="333333"/>
          <w:sz w:val="21"/>
          <w:szCs w:val="21"/>
        </w:rPr>
        <w:t>plan.Magnan</w:t>
      </w:r>
      <w:proofErr w:type="spellEnd"/>
      <w:r w:rsidRPr="00DD5BAE">
        <w:rPr>
          <w:rFonts w:ascii="Georgia" w:eastAsia="Times New Roman" w:hAnsi="Georgia" w:cs="Times New Roman"/>
          <w:color w:val="333333"/>
          <w:sz w:val="21"/>
          <w:szCs w:val="21"/>
        </w:rPr>
        <w:t>, M., &amp; St-</w:t>
      </w:r>
      <w:proofErr w:type="spellStart"/>
      <w:r w:rsidRPr="00DD5BAE">
        <w:rPr>
          <w:rFonts w:ascii="Georgia" w:eastAsia="Times New Roman" w:hAnsi="Georgia" w:cs="Times New Roman"/>
          <w:color w:val="333333"/>
          <w:sz w:val="21"/>
          <w:szCs w:val="21"/>
        </w:rPr>
        <w:t>Onge</w:t>
      </w:r>
      <w:proofErr w:type="spellEnd"/>
      <w:r w:rsidRPr="00DD5BAE">
        <w:rPr>
          <w:rFonts w:ascii="Georgia" w:eastAsia="Times New Roman" w:hAnsi="Georgia" w:cs="Times New Roman"/>
          <w:color w:val="333333"/>
          <w:sz w:val="21"/>
          <w:szCs w:val="21"/>
        </w:rPr>
        <w:t>, S. (1998). Profit sharing and firm performance: A comparative and longitudinal analysis. Presented at the Academy of Management Conference, August 9–12.</w:t>
      </w:r>
    </w:p>
    <w:p w:rsidR="00DD5BAE" w:rsidRDefault="00DD5BAE" w:rsidP="00DD5BAE">
      <w:pPr>
        <w:spacing w:after="0" w:line="439" w:lineRule="atLeast"/>
        <w:outlineLvl w:val="1"/>
        <w:rPr>
          <w:rFonts w:ascii="Calibri" w:eastAsia="Times New Roman" w:hAnsi="Calibri" w:cs="Calibri"/>
          <w:b/>
          <w:bCs/>
          <w:color w:val="333333"/>
          <w:sz w:val="28"/>
          <w:szCs w:val="28"/>
        </w:rPr>
      </w:pPr>
    </w:p>
    <w:p w:rsidR="00DD5BAE" w:rsidRPr="00DD5BAE" w:rsidRDefault="00DD5BAE" w:rsidP="00DD5BAE">
      <w:pPr>
        <w:spacing w:after="0" w:line="439" w:lineRule="atLeast"/>
        <w:outlineLvl w:val="1"/>
        <w:rPr>
          <w:rFonts w:ascii="Calibri" w:eastAsia="Times New Roman" w:hAnsi="Calibri" w:cs="Calibri"/>
          <w:b/>
          <w:bCs/>
          <w:color w:val="333333"/>
          <w:sz w:val="28"/>
          <w:szCs w:val="28"/>
        </w:rPr>
      </w:pPr>
      <w:r w:rsidRPr="00DD5BAE">
        <w:rPr>
          <w:rFonts w:ascii="Calibri" w:eastAsia="Times New Roman" w:hAnsi="Calibri" w:cs="Calibri"/>
          <w:b/>
          <w:bCs/>
          <w:color w:val="333333"/>
          <w:sz w:val="28"/>
          <w:szCs w:val="28"/>
        </w:rPr>
        <w:lastRenderedPageBreak/>
        <w:t>Succession Planning</w:t>
      </w:r>
    </w:p>
    <w:p w:rsidR="00DD5BAE" w:rsidRPr="00DD5BAE" w:rsidRDefault="00DD5BAE" w:rsidP="00DD5BAE">
      <w:p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 xml:space="preserve">Succession planning is a process whereby an organization ensures that employees are recruited and developed to fill each key role within the company. In a recent survey, HR executives and non-HR executives were asked to name their top human capital challenge. Nearly one-third of both executive groups cited succession </w:t>
      </w:r>
      <w:proofErr w:type="spellStart"/>
      <w:r w:rsidRPr="00DD5BAE">
        <w:rPr>
          <w:rFonts w:ascii="Georgia" w:eastAsia="Times New Roman" w:hAnsi="Georgia" w:cs="Calibri"/>
          <w:color w:val="333333"/>
          <w:sz w:val="24"/>
          <w:szCs w:val="24"/>
        </w:rPr>
        <w:t>planning</w:t>
      </w:r>
      <w:proofErr w:type="gramStart"/>
      <w:r w:rsidRPr="00DD5BAE">
        <w:rPr>
          <w:rFonts w:ascii="Georgia" w:eastAsia="Times New Roman" w:hAnsi="Georgia" w:cs="Calibri"/>
          <w:color w:val="333333"/>
          <w:sz w:val="24"/>
          <w:szCs w:val="24"/>
        </w:rPr>
        <w:t>,Buhler</w:t>
      </w:r>
      <w:proofErr w:type="spellEnd"/>
      <w:proofErr w:type="gramEnd"/>
      <w:r w:rsidRPr="00DD5BAE">
        <w:rPr>
          <w:rFonts w:ascii="Georgia" w:eastAsia="Times New Roman" w:hAnsi="Georgia" w:cs="Calibri"/>
          <w:color w:val="333333"/>
          <w:sz w:val="24"/>
          <w:szCs w:val="24"/>
        </w:rPr>
        <w:t>, P. M. (2008, March). Managing in the new millennium; succession planning: not just for the c suite. </w:t>
      </w:r>
      <w:r w:rsidRPr="00DD5BAE">
        <w:rPr>
          <w:rFonts w:ascii="Georgia" w:eastAsia="Times New Roman" w:hAnsi="Georgia" w:cs="Calibri"/>
          <w:i/>
          <w:iCs/>
          <w:color w:val="333333"/>
          <w:sz w:val="24"/>
          <w:szCs w:val="24"/>
        </w:rPr>
        <w:t>Supervision, 69</w:t>
      </w:r>
      <w:r w:rsidRPr="00DD5BAE">
        <w:rPr>
          <w:rFonts w:ascii="Georgia" w:eastAsia="Times New Roman" w:hAnsi="Georgia" w:cs="Calibri"/>
          <w:color w:val="333333"/>
          <w:sz w:val="24"/>
          <w:szCs w:val="24"/>
        </w:rPr>
        <w:t>(3), 19. </w:t>
      </w:r>
      <w:proofErr w:type="gramStart"/>
      <w:r w:rsidRPr="00DD5BAE">
        <w:rPr>
          <w:rFonts w:ascii="Georgia" w:eastAsia="Times New Roman" w:hAnsi="Georgia" w:cs="Calibri"/>
          <w:color w:val="333333"/>
          <w:sz w:val="24"/>
          <w:szCs w:val="24"/>
        </w:rPr>
        <w:t>but</w:t>
      </w:r>
      <w:proofErr w:type="gramEnd"/>
      <w:r w:rsidRPr="00DD5BAE">
        <w:rPr>
          <w:rFonts w:ascii="Georgia" w:eastAsia="Times New Roman" w:hAnsi="Georgia" w:cs="Calibri"/>
          <w:color w:val="333333"/>
          <w:sz w:val="24"/>
          <w:szCs w:val="24"/>
        </w:rPr>
        <w:t xml:space="preserve"> less than 20% of companies with a succession plan addressed non</w:t>
      </w:r>
      <w:r>
        <w:rPr>
          <w:rFonts w:ascii="Georgia" w:eastAsia="Times New Roman" w:hAnsi="Georgia" w:cs="Calibri"/>
          <w:color w:val="333333"/>
          <w:sz w:val="24"/>
          <w:szCs w:val="24"/>
        </w:rPr>
        <w:t>-</w:t>
      </w:r>
      <w:r w:rsidRPr="00DD5BAE">
        <w:rPr>
          <w:rFonts w:ascii="Georgia" w:eastAsia="Times New Roman" w:hAnsi="Georgia" w:cs="Calibri"/>
          <w:color w:val="333333"/>
          <w:sz w:val="24"/>
          <w:szCs w:val="24"/>
        </w:rPr>
        <w:t>management positions. Slightly more than 40% of firms didn’t have a plan in place.</w:t>
      </w:r>
    </w:p>
    <w:p w:rsidR="00DD5BAE" w:rsidRPr="00DD5BAE" w:rsidRDefault="00DD5BAE" w:rsidP="00DD5BAE">
      <w:p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Looking across organizations succession planning takes a number of forms (including no form at all). An absence of succession planning should be a red flag, since the competitive advantage of a growing percentage of firms is predicated on their stock of human capital and ability to manage such capital in the future. One of the overarching themes of becoming better at succession is that effective organizations become much better at developing and promoting talent from within. The figure “Levels of Succession Planning” summarizes the different levels that firms can work toward.</w:t>
      </w:r>
    </w:p>
    <w:p w:rsidR="00DD5BAE" w:rsidRPr="00DD5BAE" w:rsidRDefault="00DD5BAE" w:rsidP="00DD5BAE">
      <w:pPr>
        <w:shd w:val="clear" w:color="auto" w:fill="F4F4F4"/>
        <w:spacing w:before="100" w:beforeAutospacing="1" w:after="100" w:afterAutospacing="1" w:line="240" w:lineRule="auto"/>
        <w:outlineLvl w:val="2"/>
        <w:rPr>
          <w:rFonts w:ascii="Calibri" w:eastAsia="Times New Roman" w:hAnsi="Calibri" w:cs="Calibri"/>
          <w:b/>
          <w:bCs/>
          <w:color w:val="333333"/>
          <w:sz w:val="35"/>
          <w:szCs w:val="35"/>
        </w:rPr>
      </w:pPr>
      <w:r w:rsidRPr="00DD5BAE">
        <w:rPr>
          <w:rFonts w:ascii="Calibri" w:eastAsia="Times New Roman" w:hAnsi="Calibri" w:cs="Calibri"/>
          <w:b/>
          <w:bCs/>
          <w:color w:val="333333"/>
          <w:sz w:val="35"/>
          <w:szCs w:val="35"/>
        </w:rPr>
        <w:t>Levels of Succession Planning</w:t>
      </w:r>
    </w:p>
    <w:p w:rsidR="00DD5BAE" w:rsidRPr="00DD5BAE" w:rsidRDefault="00DD5BAE" w:rsidP="00DD5BAE">
      <w:pPr>
        <w:numPr>
          <w:ilvl w:val="0"/>
          <w:numId w:val="2"/>
        </w:numPr>
        <w:shd w:val="clear" w:color="auto" w:fill="F4F4F4"/>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Level 1: No planning at all.</w:t>
      </w:r>
    </w:p>
    <w:p w:rsidR="00DD5BAE" w:rsidRPr="00DD5BAE" w:rsidRDefault="00DD5BAE" w:rsidP="00DD5BAE">
      <w:pPr>
        <w:numPr>
          <w:ilvl w:val="0"/>
          <w:numId w:val="2"/>
        </w:numPr>
        <w:shd w:val="clear" w:color="auto" w:fill="F4F4F4"/>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Level 2: Simple replacement plan. Typically the organization has only considered what it will do if key individuals leave or become debilitated.</w:t>
      </w:r>
    </w:p>
    <w:p w:rsidR="00DD5BAE" w:rsidRPr="00DD5BAE" w:rsidRDefault="00DD5BAE" w:rsidP="00DD5BAE">
      <w:pPr>
        <w:numPr>
          <w:ilvl w:val="0"/>
          <w:numId w:val="2"/>
        </w:numPr>
        <w:shd w:val="clear" w:color="auto" w:fill="F4F4F4"/>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 xml:space="preserve">Level 3: The </w:t>
      </w:r>
      <w:proofErr w:type="gramStart"/>
      <w:r w:rsidRPr="00DD5BAE">
        <w:rPr>
          <w:rFonts w:ascii="Georgia" w:eastAsia="Times New Roman" w:hAnsi="Georgia" w:cs="Calibri"/>
          <w:color w:val="333333"/>
          <w:sz w:val="24"/>
          <w:szCs w:val="24"/>
        </w:rPr>
        <w:t>company</w:t>
      </w:r>
      <w:proofErr w:type="gramEnd"/>
      <w:r w:rsidRPr="00DD5BAE">
        <w:rPr>
          <w:rFonts w:ascii="Georgia" w:eastAsia="Times New Roman" w:hAnsi="Georgia" w:cs="Calibri"/>
          <w:color w:val="333333"/>
          <w:sz w:val="24"/>
          <w:szCs w:val="24"/>
        </w:rPr>
        <w:t xml:space="preserve"> extends the replacement plan approach to consider lower-level positions, even including middle managers.</w:t>
      </w:r>
    </w:p>
    <w:p w:rsidR="00DD5BAE" w:rsidRPr="00DD5BAE" w:rsidRDefault="00DD5BAE" w:rsidP="00DD5BAE">
      <w:pPr>
        <w:numPr>
          <w:ilvl w:val="0"/>
          <w:numId w:val="2"/>
        </w:numPr>
        <w:shd w:val="clear" w:color="auto" w:fill="F4F4F4"/>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 xml:space="preserve">Level 4: The </w:t>
      </w:r>
      <w:proofErr w:type="gramStart"/>
      <w:r w:rsidRPr="00DD5BAE">
        <w:rPr>
          <w:rFonts w:ascii="Georgia" w:eastAsia="Times New Roman" w:hAnsi="Georgia" w:cs="Calibri"/>
          <w:color w:val="333333"/>
          <w:sz w:val="24"/>
          <w:szCs w:val="24"/>
        </w:rPr>
        <w:t>company</w:t>
      </w:r>
      <w:proofErr w:type="gramEnd"/>
      <w:r w:rsidRPr="00DD5BAE">
        <w:rPr>
          <w:rFonts w:ascii="Georgia" w:eastAsia="Times New Roman" w:hAnsi="Georgia" w:cs="Calibri"/>
          <w:color w:val="333333"/>
          <w:sz w:val="24"/>
          <w:szCs w:val="24"/>
        </w:rPr>
        <w:t xml:space="preserve"> goes beyond the replacement plan approach to identify the competencies it will need in the future. Most often, this approach is managed along with a promote-from-within initiative.</w:t>
      </w:r>
    </w:p>
    <w:p w:rsidR="00DD5BAE" w:rsidRPr="00DD5BAE" w:rsidRDefault="00DD5BAE" w:rsidP="00DD5BAE">
      <w:pPr>
        <w:numPr>
          <w:ilvl w:val="0"/>
          <w:numId w:val="2"/>
        </w:numPr>
        <w:shd w:val="clear" w:color="auto" w:fill="F4F4F4"/>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lastRenderedPageBreak/>
        <w:t>Level 5: In addition to promoting from within, the organization develops the capability to identify and recruit top talent externally. However, the primary source of successors should be from within, unless there are key gaps where the organization does not have key capabilities.</w:t>
      </w:r>
    </w:p>
    <w:p w:rsidR="00DD5BAE" w:rsidRPr="00DD5BAE" w:rsidRDefault="00DD5BAE" w:rsidP="00DD5BAE">
      <w:p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Dow Chemical exemplifies some best practices for succession planning:</w:t>
      </w:r>
    </w:p>
    <w:p w:rsidR="00DD5BAE" w:rsidRPr="00DD5BAE" w:rsidRDefault="00DD5BAE" w:rsidP="00DD5BAE">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Dow has a comprehensive plan that addresses all levels within the organization, not just executive levels.</w:t>
      </w:r>
    </w:p>
    <w:p w:rsidR="00DD5BAE" w:rsidRPr="00DD5BAE" w:rsidRDefault="00DD5BAE" w:rsidP="00DD5BAE">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CEO reviews the plan, signaling its importance.</w:t>
      </w:r>
    </w:p>
    <w:p w:rsidR="00DD5BAE" w:rsidRPr="00DD5BAE" w:rsidRDefault="00DD5BAE" w:rsidP="00DD5BAE">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Managers regularly identify critical roles in the company and the competencies needed for success in those roles.</w:t>
      </w:r>
    </w:p>
    <w:p w:rsidR="00DD5BAE" w:rsidRPr="00DD5BAE" w:rsidRDefault="00DD5BAE" w:rsidP="00DD5BAE">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Dow uses a nine-box grid for succession planning, plotting employees along the two dimensions of potential and performance.</w:t>
      </w:r>
    </w:p>
    <w:p w:rsidR="00DD5BAE" w:rsidRPr="00DD5BAE" w:rsidRDefault="00DD5BAE" w:rsidP="00DD5BAE">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High potential employees are recommended for training and development, such as Dow Academy or an MBA.</w:t>
      </w:r>
    </w:p>
    <w:p w:rsidR="00DD5BAE" w:rsidRPr="00DD5BAE" w:rsidRDefault="00DD5BAE" w:rsidP="00DD5BAE">
      <w:p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 xml:space="preserve">Interpublic Group, a communications and advertising agency, established a formal review process in 2005 in which the CEOs of each Interpublic business would talk with the CEO about the leaders in their organization. The discussions span the globe because half of the company’s employees work outside the United States. A key part of the discussions is to then meet with the individual employees to tell them about the opportunities available to them. “In the past, what I saw happen was that an employee would want to leave and then all of a sudden they hear about all of the career opportunities available to them,” he says. “Now I want to make sure those discussions are happening before anyone talks about leaving,” said Timothy </w:t>
      </w:r>
      <w:proofErr w:type="spellStart"/>
      <w:r w:rsidRPr="00DD5BAE">
        <w:rPr>
          <w:rFonts w:ascii="Georgia" w:eastAsia="Times New Roman" w:hAnsi="Georgia" w:cs="Calibri"/>
          <w:color w:val="333333"/>
          <w:sz w:val="24"/>
          <w:szCs w:val="24"/>
        </w:rPr>
        <w:t>Sompolski</w:t>
      </w:r>
      <w:proofErr w:type="spellEnd"/>
      <w:r w:rsidRPr="00DD5BAE">
        <w:rPr>
          <w:rFonts w:ascii="Georgia" w:eastAsia="Times New Roman" w:hAnsi="Georgia" w:cs="Calibri"/>
          <w:color w:val="333333"/>
          <w:sz w:val="24"/>
          <w:szCs w:val="24"/>
        </w:rPr>
        <w:t xml:space="preserve">, executive vice president and chief human resources officer at Interpublic </w:t>
      </w:r>
      <w:proofErr w:type="spellStart"/>
      <w:r w:rsidRPr="00DD5BAE">
        <w:rPr>
          <w:rFonts w:ascii="Georgia" w:eastAsia="Times New Roman" w:hAnsi="Georgia" w:cs="Calibri"/>
          <w:color w:val="333333"/>
          <w:sz w:val="24"/>
          <w:szCs w:val="24"/>
        </w:rPr>
        <w:t>Group.Marquez</w:t>
      </w:r>
      <w:proofErr w:type="spellEnd"/>
      <w:r w:rsidRPr="00DD5BAE">
        <w:rPr>
          <w:rFonts w:ascii="Georgia" w:eastAsia="Times New Roman" w:hAnsi="Georgia" w:cs="Calibri"/>
          <w:color w:val="333333"/>
          <w:sz w:val="24"/>
          <w:szCs w:val="24"/>
        </w:rPr>
        <w:t xml:space="preserve">, J. (2007, September 10). On the front line; A quintet of 2006’s highest-paid HR leaders discuss how they are confronting myriad talent management challenges as well as </w:t>
      </w:r>
      <w:r w:rsidRPr="00DD5BAE">
        <w:rPr>
          <w:rFonts w:ascii="Georgia" w:eastAsia="Times New Roman" w:hAnsi="Georgia" w:cs="Calibri"/>
          <w:color w:val="333333"/>
          <w:sz w:val="24"/>
          <w:szCs w:val="24"/>
        </w:rPr>
        <w:lastRenderedPageBreak/>
        <w:t>obstacles to being viewed by their organizations as strategic business partners. </w:t>
      </w:r>
      <w:r w:rsidRPr="00DD5BAE">
        <w:rPr>
          <w:rFonts w:ascii="Georgia" w:eastAsia="Times New Roman" w:hAnsi="Georgia" w:cs="Calibri"/>
          <w:i/>
          <w:iCs/>
          <w:color w:val="333333"/>
          <w:sz w:val="24"/>
          <w:szCs w:val="24"/>
        </w:rPr>
        <w:t>Workforce Management, 86</w:t>
      </w:r>
      <w:r w:rsidRPr="00DD5BAE">
        <w:rPr>
          <w:rFonts w:ascii="Georgia" w:eastAsia="Times New Roman" w:hAnsi="Georgia" w:cs="Calibri"/>
          <w:color w:val="333333"/>
          <w:sz w:val="24"/>
          <w:szCs w:val="24"/>
        </w:rPr>
        <w:t>(5), 22.</w:t>
      </w:r>
    </w:p>
    <w:p w:rsidR="00DD5BAE" w:rsidRPr="00DD5BAE" w:rsidRDefault="00DD5BAE" w:rsidP="00DD5BAE">
      <w:pPr>
        <w:spacing w:before="100" w:beforeAutospacing="1" w:after="100" w:afterAutospacing="1" w:line="439" w:lineRule="atLeast"/>
        <w:rPr>
          <w:rFonts w:ascii="Georgia" w:eastAsia="Times New Roman" w:hAnsi="Georgia" w:cs="Calibri"/>
          <w:color w:val="333333"/>
          <w:sz w:val="24"/>
          <w:szCs w:val="24"/>
        </w:rPr>
      </w:pPr>
      <w:r w:rsidRPr="00DD5BAE">
        <w:rPr>
          <w:rFonts w:ascii="Georgia" w:eastAsia="Times New Roman" w:hAnsi="Georgia" w:cs="Calibri"/>
          <w:color w:val="333333"/>
          <w:sz w:val="24"/>
          <w:szCs w:val="24"/>
        </w:rPr>
        <w:t xml:space="preserve">The principles of strategic human resource management and high-performance work systems apply to nonprofit enterprises as well as for-profit companies, and the benefits of good HR practices are just as rewarding. When it comes to succession planning, nonprofits face a particularly difficult challenge of attracting workers to a field known for low pay and long hours. Often, the people attracted to the enterprise are drawn by the cause rather than by their own aspirations for promotion. Thus, identifying and training employees for leadership positions is even more important. What’s more, the talent shortage for nonprofits will be even more acute: A study by the Meyer Foundation and </w:t>
      </w:r>
      <w:proofErr w:type="spellStart"/>
      <w:r w:rsidRPr="00DD5BAE">
        <w:rPr>
          <w:rFonts w:ascii="Georgia" w:eastAsia="Times New Roman" w:hAnsi="Georgia" w:cs="Calibri"/>
          <w:color w:val="333333"/>
          <w:sz w:val="24"/>
          <w:szCs w:val="24"/>
        </w:rPr>
        <w:t>CompassPoint</w:t>
      </w:r>
      <w:proofErr w:type="spellEnd"/>
      <w:r w:rsidRPr="00DD5BAE">
        <w:rPr>
          <w:rFonts w:ascii="Georgia" w:eastAsia="Times New Roman" w:hAnsi="Georgia" w:cs="Calibri"/>
          <w:color w:val="333333"/>
          <w:sz w:val="24"/>
          <w:szCs w:val="24"/>
        </w:rPr>
        <w:t xml:space="preserve"> Nonprofit Service found that 75% of nonprofit executive directors plan to leave their jobs by 2011.Damast, A. (2008, August 11). Narrowing the nonprofit gap. </w:t>
      </w:r>
      <w:r w:rsidRPr="00DD5BAE">
        <w:rPr>
          <w:rFonts w:ascii="Georgia" w:eastAsia="Times New Roman" w:hAnsi="Georgia" w:cs="Calibri"/>
          <w:i/>
          <w:iCs/>
          <w:color w:val="333333"/>
          <w:sz w:val="24"/>
          <w:szCs w:val="24"/>
        </w:rPr>
        <w:t>BusinessWeek</w:t>
      </w:r>
      <w:r w:rsidRPr="00DD5BAE">
        <w:rPr>
          <w:rFonts w:ascii="Georgia" w:eastAsia="Times New Roman" w:hAnsi="Georgia" w:cs="Calibri"/>
          <w:color w:val="333333"/>
          <w:sz w:val="24"/>
          <w:szCs w:val="24"/>
        </w:rPr>
        <w:t>, p. 58.</w:t>
      </w:r>
    </w:p>
    <w:p w:rsidR="00260F40" w:rsidRDefault="00260F40"/>
    <w:sectPr w:rsidR="00260F4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16E6C"/>
    <w:multiLevelType w:val="multilevel"/>
    <w:tmpl w:val="E466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6B4E7A"/>
    <w:multiLevelType w:val="multilevel"/>
    <w:tmpl w:val="E2767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443D6D"/>
    <w:multiLevelType w:val="multilevel"/>
    <w:tmpl w:val="6C405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BAE"/>
    <w:rsid w:val="00260F40"/>
    <w:rsid w:val="00DD5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3DF1D-25CF-4280-8CD3-8B3523715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455698">
      <w:bodyDiv w:val="1"/>
      <w:marLeft w:val="0"/>
      <w:marRight w:val="0"/>
      <w:marTop w:val="0"/>
      <w:marBottom w:val="0"/>
      <w:divBdr>
        <w:top w:val="none" w:sz="0" w:space="0" w:color="auto"/>
        <w:left w:val="none" w:sz="0" w:space="0" w:color="auto"/>
        <w:bottom w:val="none" w:sz="0" w:space="0" w:color="auto"/>
        <w:right w:val="none" w:sz="0" w:space="0" w:color="auto"/>
      </w:divBdr>
      <w:divsChild>
        <w:div w:id="1495532375">
          <w:marLeft w:val="0"/>
          <w:marRight w:val="0"/>
          <w:marTop w:val="0"/>
          <w:marBottom w:val="0"/>
          <w:divBdr>
            <w:top w:val="none" w:sz="0" w:space="0" w:color="auto"/>
            <w:left w:val="none" w:sz="0" w:space="0" w:color="auto"/>
            <w:bottom w:val="none" w:sz="0" w:space="0" w:color="auto"/>
            <w:right w:val="none" w:sz="0" w:space="0" w:color="auto"/>
          </w:divBdr>
          <w:divsChild>
            <w:div w:id="199830846">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1251</Words>
  <Characters>7137</Characters>
  <Application>Microsoft Office Word</Application>
  <DocSecurity>0</DocSecurity>
  <Lines>59</Lines>
  <Paragraphs>16</Paragraphs>
  <ScaleCrop>false</ScaleCrop>
  <Company/>
  <LinksUpToDate>false</LinksUpToDate>
  <CharactersWithSpaces>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2021-03-03T14:58:00Z</dcterms:created>
  <dcterms:modified xsi:type="dcterms:W3CDTF">2021-03-03T14:59:00Z</dcterms:modified>
</cp:coreProperties>
</file>